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2DCC25">
      <w:pPr>
        <w:jc w:val="center"/>
        <w:rPr>
          <w:rFonts w:hint="eastAsia" w:eastAsiaTheme="minorEastAsia"/>
          <w:lang w:eastAsia="zh-CN"/>
        </w:rPr>
      </w:pPr>
      <w:bookmarkStart w:id="1" w:name="_GoBack"/>
      <w:bookmarkEnd w:id="1"/>
      <w:r>
        <w:rPr>
          <w:rFonts w:hint="eastAsia" w:ascii="微软雅黑" w:hAnsi="微软雅黑" w:eastAsia="微软雅黑" w:cs="微软雅黑"/>
          <w:b/>
          <w:bCs/>
          <w:kern w:val="0"/>
          <w:sz w:val="56"/>
          <w:szCs w:val="56"/>
        </w:rPr>
        <w:t>2025年</w:t>
      </w:r>
      <w:r>
        <w:rPr>
          <w:rFonts w:hint="eastAsia" w:ascii="微软雅黑" w:hAnsi="微软雅黑" w:eastAsia="微软雅黑"/>
          <w:b/>
          <w:bCs/>
          <w:kern w:val="0"/>
          <w:sz w:val="56"/>
          <w:szCs w:val="56"/>
        </w:rPr>
        <w:t>非洲(肯尼亚)安防展</w:t>
      </w:r>
    </w:p>
    <w:p w14:paraId="6183FC79">
      <w:pPr>
        <w:jc w:val="center"/>
        <w:rPr>
          <w:rFonts w:hint="eastAsia" w:eastAsiaTheme="minorEastAsia"/>
          <w:lang w:eastAsia="zh-CN"/>
        </w:rPr>
      </w:pPr>
      <w:r>
        <w:rPr>
          <w:rFonts w:hint="eastAsia" w:eastAsiaTheme="minorEastAsia"/>
          <w:lang w:eastAsia="zh-CN"/>
        </w:rPr>
        <w:drawing>
          <wp:inline distT="0" distB="0" distL="114300" distR="114300">
            <wp:extent cx="1763395" cy="720090"/>
            <wp:effectExtent l="0" t="0" r="0" b="3175"/>
            <wp:docPr id="2" name="Picture 2" descr="10.30.2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10.30.25-76(1)"/>
                    <pic:cNvPicPr>
                      <a:picLocks noChangeAspect="1"/>
                    </pic:cNvPicPr>
                  </pic:nvPicPr>
                  <pic:blipFill>
                    <a:blip r:embed="rId4"/>
                    <a:srcRect l="21889" t="36418" r="16990" b="38670"/>
                    <a:stretch>
                      <a:fillRect/>
                    </a:stretch>
                  </pic:blipFill>
                  <pic:spPr>
                    <a:xfrm>
                      <a:off x="0" y="0"/>
                      <a:ext cx="1763395" cy="720090"/>
                    </a:xfrm>
                    <a:prstGeom prst="rect">
                      <a:avLst/>
                    </a:prstGeom>
                  </pic:spPr>
                </pic:pic>
              </a:graphicData>
            </a:graphic>
          </wp:inline>
        </w:drawing>
      </w:r>
    </w:p>
    <w:p w14:paraId="2F569347">
      <w:pPr>
        <w:jc w:val="center"/>
      </w:pPr>
    </w:p>
    <w:p w14:paraId="42E81EC2">
      <w:pPr>
        <w:jc w:val="left"/>
        <w:rPr>
          <w:rFonts w:ascii="微软雅黑" w:hAnsi="微软雅黑" w:eastAsia="微软雅黑" w:cs="微软雅黑"/>
          <w:b/>
          <w:bCs/>
          <w:sz w:val="40"/>
          <w:szCs w:val="40"/>
        </w:rPr>
      </w:pPr>
      <w:r>
        <w:rPr>
          <w:rFonts w:hint="eastAsia" w:ascii="微软雅黑" w:hAnsi="微软雅黑" w:eastAsia="微软雅黑" w:cs="微软雅黑"/>
          <w:b/>
          <w:bCs/>
          <w:sz w:val="40"/>
          <w:szCs w:val="40"/>
        </w:rPr>
        <w:t>展会介绍</w:t>
      </w:r>
    </w:p>
    <w:p w14:paraId="65F63985">
      <w:pPr>
        <w:pStyle w:val="3"/>
        <w:tabs>
          <w:tab w:val="left" w:pos="5460"/>
        </w:tabs>
        <w:jc w:val="left"/>
        <w:rPr>
          <w:b/>
          <w:bCs/>
          <w:color w:val="050E17"/>
          <w:spacing w:val="9"/>
          <w:sz w:val="24"/>
          <w:szCs w:val="24"/>
          <w:lang w:eastAsia="zh-CN"/>
        </w:rPr>
        <w:sectPr>
          <w:pgSz w:w="11906" w:h="16838"/>
          <w:pgMar w:top="1440" w:right="1134" w:bottom="1440" w:left="1134" w:header="851" w:footer="992" w:gutter="0"/>
          <w:cols w:space="425" w:num="1"/>
          <w:docGrid w:type="lines" w:linePitch="312" w:charSpace="0"/>
        </w:sectPr>
      </w:pPr>
    </w:p>
    <w:p w14:paraId="2FAACB4B">
      <w:pPr>
        <w:pStyle w:val="3"/>
        <w:tabs>
          <w:tab w:val="left" w:pos="5460"/>
        </w:tabs>
        <w:spacing w:line="360" w:lineRule="exact"/>
        <w:jc w:val="left"/>
        <w:rPr>
          <w:rFonts w:hint="default"/>
          <w:b/>
          <w:bCs/>
          <w:color w:val="050E17"/>
          <w:spacing w:val="9"/>
          <w:lang w:val="en-US" w:eastAsia="zh-CN"/>
        </w:rPr>
      </w:pPr>
      <w:r>
        <w:rPr>
          <w:b/>
          <w:bCs/>
          <w:color w:val="050E17"/>
          <w:spacing w:val="9"/>
          <w:lang w:eastAsia="zh-CN"/>
        </w:rPr>
        <w:t>展会时间</w:t>
      </w:r>
      <w:r>
        <w:rPr>
          <w:rFonts w:hint="eastAsia"/>
          <w:b/>
          <w:bCs/>
          <w:color w:val="050E17"/>
          <w:spacing w:val="9"/>
          <w:lang w:eastAsia="zh-CN"/>
        </w:rPr>
        <w:t>：2025年</w:t>
      </w:r>
      <w:r>
        <w:rPr>
          <w:rFonts w:hint="eastAsia"/>
          <w:b/>
          <w:bCs/>
          <w:color w:val="050E17"/>
          <w:spacing w:val="9"/>
          <w:lang w:val="en-US" w:eastAsia="zh-CN"/>
        </w:rPr>
        <w:t>7</w:t>
      </w:r>
      <w:r>
        <w:rPr>
          <w:rFonts w:hint="eastAsia"/>
          <w:b/>
          <w:bCs/>
          <w:color w:val="050E17"/>
          <w:spacing w:val="9"/>
          <w:lang w:eastAsia="zh-CN"/>
        </w:rPr>
        <w:t>月</w:t>
      </w:r>
      <w:r>
        <w:rPr>
          <w:rFonts w:hint="eastAsia"/>
          <w:b/>
          <w:bCs/>
          <w:color w:val="050E17"/>
          <w:spacing w:val="9"/>
          <w:lang w:val="en-US" w:eastAsia="zh-CN"/>
        </w:rPr>
        <w:t>8-10日</w:t>
      </w:r>
    </w:p>
    <w:p w14:paraId="1898DD37">
      <w:pPr>
        <w:pStyle w:val="3"/>
        <w:tabs>
          <w:tab w:val="left" w:pos="5460"/>
        </w:tabs>
        <w:spacing w:line="360" w:lineRule="exact"/>
        <w:jc w:val="left"/>
        <w:rPr>
          <w:rFonts w:hint="default"/>
          <w:b/>
          <w:bCs/>
          <w:color w:val="050E17"/>
          <w:spacing w:val="9"/>
          <w:lang w:val="en-US" w:eastAsia="zh-CN"/>
        </w:rPr>
      </w:pPr>
      <w:r>
        <w:rPr>
          <w:b/>
          <w:bCs/>
          <w:color w:val="050E17"/>
          <w:spacing w:val="9"/>
          <w:lang w:eastAsia="zh-CN"/>
        </w:rPr>
        <w:t>主办单位</w:t>
      </w:r>
      <w:r>
        <w:rPr>
          <w:rFonts w:hint="eastAsia"/>
          <w:b/>
          <w:bCs/>
          <w:color w:val="050E17"/>
          <w:spacing w:val="9"/>
          <w:lang w:eastAsia="zh-CN"/>
        </w:rPr>
        <w:t>：MIE</w:t>
      </w:r>
    </w:p>
    <w:p w14:paraId="629828E8">
      <w:pPr>
        <w:pStyle w:val="3"/>
        <w:tabs>
          <w:tab w:val="left" w:pos="5460"/>
        </w:tabs>
        <w:spacing w:line="360" w:lineRule="exact"/>
        <w:jc w:val="left"/>
        <w:rPr>
          <w:b/>
          <w:bCs/>
          <w:color w:val="050E17"/>
          <w:spacing w:val="9"/>
          <w:lang w:eastAsia="zh-CN"/>
        </w:rPr>
      </w:pPr>
      <w:r>
        <w:rPr>
          <w:rFonts w:hint="eastAsia"/>
          <w:b/>
          <w:bCs/>
          <w:color w:val="050E17"/>
          <w:spacing w:val="9"/>
          <w:lang w:eastAsia="zh-CN"/>
        </w:rPr>
        <w:t xml:space="preserve">展会地点：肯雅塔国际会展中心(KICC)    </w:t>
      </w:r>
    </w:p>
    <w:p w14:paraId="09413B90">
      <w:pPr>
        <w:pStyle w:val="3"/>
        <w:tabs>
          <w:tab w:val="left" w:pos="5460"/>
        </w:tabs>
        <w:spacing w:line="360" w:lineRule="exact"/>
        <w:jc w:val="left"/>
        <w:rPr>
          <w:b/>
          <w:bCs/>
          <w:color w:val="050E17"/>
          <w:spacing w:val="9"/>
          <w:lang w:eastAsia="zh-CN"/>
        </w:rPr>
        <w:sectPr>
          <w:type w:val="continuous"/>
          <w:pgSz w:w="11906" w:h="16838"/>
          <w:pgMar w:top="1440" w:right="1134" w:bottom="1440" w:left="1134" w:header="851" w:footer="992" w:gutter="0"/>
          <w:cols w:equalWidth="0" w:num="2">
            <w:col w:w="5025" w:space="7"/>
            <w:col w:w="4606"/>
          </w:cols>
          <w:docGrid w:type="lines" w:linePitch="312" w:charSpace="0"/>
        </w:sectPr>
      </w:pPr>
      <w:r>
        <w:rPr>
          <w:rFonts w:hint="eastAsia"/>
          <w:b/>
          <w:bCs/>
          <w:color w:val="050E17"/>
          <w:spacing w:val="9"/>
          <w:lang w:eastAsia="zh-CN"/>
        </w:rPr>
        <w:t>展会类型：安防科技</w:t>
      </w:r>
    </w:p>
    <w:p w14:paraId="78775319">
      <w:pPr>
        <w:widowControl/>
        <w:kinsoku w:val="0"/>
        <w:autoSpaceDE w:val="0"/>
        <w:autoSpaceDN w:val="0"/>
        <w:adjustRightInd w:val="0"/>
        <w:textAlignment w:val="baseline"/>
        <w:rPr>
          <w:rFonts w:hint="eastAsia" w:eastAsiaTheme="minorEastAsia"/>
          <w:b/>
          <w:bCs/>
          <w:color w:val="050E17"/>
          <w:spacing w:val="9"/>
          <w:sz w:val="24"/>
          <w:lang w:eastAsia="zh-CN"/>
        </w:rPr>
      </w:pPr>
      <w:r>
        <w:rPr>
          <w:rFonts w:hint="eastAsia" w:eastAsiaTheme="minorEastAsia"/>
          <w:b/>
          <w:bCs/>
          <w:color w:val="050E17"/>
          <w:spacing w:val="9"/>
          <w:sz w:val="24"/>
          <w:lang w:eastAsia="zh-CN"/>
        </w:rPr>
        <w:drawing>
          <wp:inline distT="0" distB="0" distL="114300" distR="114300">
            <wp:extent cx="6107430" cy="2910205"/>
            <wp:effectExtent l="0" t="0" r="7620" b="4445"/>
            <wp:docPr id="6" name="Picture 6" descr="dbd2b6f9b1520da7f1cea9ed4c7a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bd2b6f9b1520da7f1cea9ed4c7a0b1"/>
                    <pic:cNvPicPr>
                      <a:picLocks noChangeAspect="1"/>
                    </pic:cNvPicPr>
                  </pic:nvPicPr>
                  <pic:blipFill>
                    <a:blip r:embed="rId5"/>
                    <a:srcRect b="4109"/>
                    <a:stretch>
                      <a:fillRect/>
                    </a:stretch>
                  </pic:blipFill>
                  <pic:spPr>
                    <a:xfrm>
                      <a:off x="0" y="0"/>
                      <a:ext cx="6107430" cy="2910205"/>
                    </a:xfrm>
                    <a:prstGeom prst="rect">
                      <a:avLst/>
                    </a:prstGeom>
                  </pic:spPr>
                </pic:pic>
              </a:graphicData>
            </a:graphic>
          </wp:inline>
        </w:drawing>
      </w:r>
    </w:p>
    <w:p w14:paraId="357964ED">
      <w:pPr>
        <w:widowControl/>
        <w:kinsoku w:val="0"/>
        <w:autoSpaceDE w:val="0"/>
        <w:autoSpaceDN w:val="0"/>
        <w:adjustRightInd w:val="0"/>
        <w:snapToGrid w:val="0"/>
        <w:spacing w:line="360" w:lineRule="exact"/>
        <w:ind w:firstLine="420" w:firstLineChars="200"/>
        <w:textAlignment w:val="baseline"/>
        <w:rPr>
          <w:rFonts w:hint="eastAsia" w:ascii="微软雅黑" w:hAnsi="微软雅黑" w:eastAsia="微软雅黑"/>
          <w:szCs w:val="21"/>
          <w:lang w:val="en-US" w:eastAsia="zh-CN"/>
        </w:rPr>
      </w:pPr>
      <w:bookmarkStart w:id="0" w:name="OLE_LINK1"/>
      <w:r>
        <w:rPr>
          <w:rFonts w:hint="eastAsia" w:ascii="微软雅黑" w:hAnsi="微软雅黑" w:eastAsia="微软雅黑"/>
          <w:szCs w:val="21"/>
          <w:lang w:val="en-US" w:eastAsia="zh-CN"/>
        </w:rPr>
        <w:t>非洲（肯尼亚）安防展是由中东国际展览集团（MIE）主办，展会已经成功举办过多届，是肯尼亚境内规模较大的专业展之一！往届展会得到了肯尼亚工业化和企业发展部、肯尼亚投资促进局等相关部门的大力支持。</w:t>
      </w:r>
    </w:p>
    <w:p w14:paraId="5F26F643">
      <w:pPr>
        <w:widowControl/>
        <w:kinsoku w:val="0"/>
        <w:autoSpaceDE w:val="0"/>
        <w:autoSpaceDN w:val="0"/>
        <w:adjustRightInd w:val="0"/>
        <w:snapToGrid w:val="0"/>
        <w:spacing w:line="360" w:lineRule="exact"/>
        <w:ind w:firstLine="420" w:firstLineChars="200"/>
        <w:textAlignment w:val="baseline"/>
        <w:rPr>
          <w:rFonts w:hint="eastAsia" w:ascii="微软雅黑" w:hAnsi="微软雅黑" w:eastAsia="微软雅黑"/>
          <w:szCs w:val="21"/>
          <w:lang w:val="en-US" w:eastAsia="zh-CN"/>
        </w:rPr>
      </w:pPr>
      <w:r>
        <w:rPr>
          <w:rFonts w:hint="eastAsia" w:ascii="微软雅黑" w:hAnsi="微软雅黑" w:eastAsia="微软雅黑"/>
          <w:szCs w:val="21"/>
          <w:lang w:val="en-US" w:eastAsia="zh-CN"/>
        </w:rPr>
        <w:t>2025年非洲（肯尼亚）安防展将于2025年7月8-10日在肯尼亚内罗毕肯雅塔国际会展中心举办，将吸引来自10多个国家的100余家展商参展，并吸引5,000余名国际观众参观。这是您开拓新领域、将出口活动倍增到世界主要新兴市场之一的绝佳机会。您将从专家演讲和关键议题的公开讨论中获得启发，并结识为人工智能、区块链、5G、物联网和企业网络安全提供最具创新性和改变游戏规则的安全解决方案的公司。</w:t>
      </w:r>
    </w:p>
    <w:bookmarkEnd w:id="0"/>
    <w:tbl>
      <w:tblPr>
        <w:tblStyle w:val="1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387"/>
        <w:gridCol w:w="2420"/>
        <w:gridCol w:w="2414"/>
        <w:gridCol w:w="2427"/>
      </w:tblGrid>
      <w:tr w14:paraId="7F090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jc w:val="center"/>
        </w:trPr>
        <w:tc>
          <w:tcPr>
            <w:tcW w:w="1237" w:type="pct"/>
            <w:shd w:val="clear" w:color="auto" w:fill="4069DD"/>
            <w:vAlign w:val="center"/>
          </w:tcPr>
          <w:p w14:paraId="643231D1">
            <w:pPr>
              <w:spacing w:before="211" w:line="190" w:lineRule="auto"/>
              <w:ind w:left="685"/>
              <w:jc w:val="both"/>
              <w:rPr>
                <w:rFonts w:hint="default" w:ascii="微软雅黑" w:hAnsi="微软雅黑" w:eastAsia="微软雅黑" w:cs="微软雅黑"/>
                <w:szCs w:val="21"/>
                <w:lang w:val="en-US" w:eastAsia="zh-CN"/>
              </w:rPr>
            </w:pPr>
            <w:r>
              <w:rPr>
                <w:rFonts w:hint="eastAsia" w:ascii="微软雅黑" w:hAnsi="微软雅黑" w:eastAsia="微软雅黑" w:cs="微软雅黑"/>
                <w:color w:val="FFFFFF"/>
                <w:spacing w:val="3"/>
                <w:szCs w:val="21"/>
                <w:lang w:val="en-US" w:eastAsia="zh-CN"/>
              </w:rPr>
              <w:t>国际展商</w:t>
            </w:r>
          </w:p>
        </w:tc>
        <w:tc>
          <w:tcPr>
            <w:tcW w:w="1254" w:type="pct"/>
            <w:shd w:val="clear" w:color="auto" w:fill="4069DD"/>
            <w:vAlign w:val="center"/>
          </w:tcPr>
          <w:p w14:paraId="21F8533C">
            <w:pPr>
              <w:spacing w:before="210" w:line="189" w:lineRule="auto"/>
              <w:ind w:left="681"/>
              <w:jc w:val="both"/>
              <w:rPr>
                <w:rFonts w:hint="eastAsia" w:ascii="微软雅黑" w:hAnsi="微软雅黑" w:eastAsia="微软雅黑" w:cs="微软雅黑"/>
                <w:szCs w:val="21"/>
                <w:lang w:val="en-US" w:eastAsia="zh-CN"/>
              </w:rPr>
            </w:pPr>
            <w:r>
              <w:rPr>
                <w:rFonts w:ascii="微软雅黑" w:hAnsi="微软雅黑" w:eastAsia="微软雅黑" w:cs="微软雅黑"/>
                <w:color w:val="FFFFFF"/>
                <w:spacing w:val="6"/>
                <w:szCs w:val="21"/>
              </w:rPr>
              <w:t>参展</w:t>
            </w:r>
            <w:r>
              <w:rPr>
                <w:rFonts w:hint="eastAsia" w:ascii="微软雅黑" w:hAnsi="微软雅黑" w:eastAsia="微软雅黑" w:cs="微软雅黑"/>
                <w:color w:val="FFFFFF"/>
                <w:spacing w:val="6"/>
                <w:szCs w:val="21"/>
                <w:lang w:val="en-US" w:eastAsia="zh-CN"/>
              </w:rPr>
              <w:t>人数</w:t>
            </w:r>
          </w:p>
        </w:tc>
        <w:tc>
          <w:tcPr>
            <w:tcW w:w="1251" w:type="pct"/>
            <w:shd w:val="clear" w:color="auto" w:fill="4069DD"/>
            <w:vAlign w:val="center"/>
          </w:tcPr>
          <w:p w14:paraId="0E6253AC">
            <w:pPr>
              <w:spacing w:before="210" w:line="191" w:lineRule="auto"/>
              <w:jc w:val="center"/>
              <w:rPr>
                <w:rFonts w:hint="default" w:ascii="微软雅黑" w:hAnsi="微软雅黑" w:eastAsia="微软雅黑" w:cs="微软雅黑"/>
                <w:szCs w:val="21"/>
                <w:lang w:val="en-US" w:eastAsia="zh-CN"/>
              </w:rPr>
            </w:pPr>
            <w:r>
              <w:rPr>
                <w:rFonts w:hint="eastAsia" w:ascii="微软雅黑" w:hAnsi="微软雅黑" w:eastAsia="微软雅黑" w:cs="微软雅黑"/>
                <w:color w:val="FFFFFF"/>
                <w:spacing w:val="6"/>
                <w:szCs w:val="21"/>
                <w:lang w:val="en-US" w:eastAsia="zh-CN"/>
              </w:rPr>
              <w:t>辐射国家</w:t>
            </w:r>
          </w:p>
        </w:tc>
        <w:tc>
          <w:tcPr>
            <w:tcW w:w="1258" w:type="pct"/>
            <w:shd w:val="clear" w:color="auto" w:fill="4069DD"/>
            <w:vAlign w:val="center"/>
          </w:tcPr>
          <w:p w14:paraId="59831A18">
            <w:pPr>
              <w:spacing w:before="211" w:line="189" w:lineRule="auto"/>
              <w:jc w:val="center"/>
              <w:rPr>
                <w:rFonts w:hint="eastAsia" w:ascii="微软雅黑" w:hAnsi="微软雅黑" w:eastAsia="微软雅黑" w:cs="微软雅黑"/>
                <w:szCs w:val="21"/>
                <w:lang w:eastAsia="zh-CN"/>
              </w:rPr>
            </w:pPr>
            <w:r>
              <w:rPr>
                <w:rFonts w:hint="eastAsia" w:ascii="微软雅黑" w:hAnsi="微软雅黑" w:eastAsia="微软雅黑" w:cs="微软雅黑"/>
                <w:color w:val="FFFFFF"/>
                <w:spacing w:val="7"/>
                <w:szCs w:val="21"/>
                <w:lang w:val="en-US" w:eastAsia="zh-CN"/>
              </w:rPr>
              <w:t>展会面积</w:t>
            </w:r>
          </w:p>
        </w:tc>
      </w:tr>
      <w:tr w14:paraId="5D7524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6" w:hRule="atLeast"/>
          <w:jc w:val="center"/>
        </w:trPr>
        <w:tc>
          <w:tcPr>
            <w:tcW w:w="1237" w:type="pct"/>
            <w:vAlign w:val="center"/>
          </w:tcPr>
          <w:p w14:paraId="518B367F">
            <w:pPr>
              <w:spacing w:before="227" w:line="214" w:lineRule="auto"/>
              <w:ind w:left="826"/>
              <w:jc w:val="both"/>
              <w:rPr>
                <w:rFonts w:ascii="微软雅黑" w:hAnsi="微软雅黑" w:eastAsia="微软雅黑" w:cs="微软雅黑"/>
                <w:szCs w:val="21"/>
              </w:rPr>
            </w:pPr>
            <w:r>
              <w:rPr>
                <w:rFonts w:hint="eastAsia" w:ascii="微软雅黑" w:hAnsi="微软雅黑" w:eastAsia="微软雅黑" w:cs="微软雅黑"/>
                <w:spacing w:val="-8"/>
                <w:szCs w:val="21"/>
                <w:lang w:val="en-US" w:eastAsia="zh-CN"/>
              </w:rPr>
              <w:t>100</w:t>
            </w:r>
            <w:r>
              <w:rPr>
                <w:rFonts w:ascii="微软雅黑" w:hAnsi="微软雅黑" w:eastAsia="微软雅黑" w:cs="微软雅黑"/>
                <w:spacing w:val="-8"/>
                <w:szCs w:val="21"/>
              </w:rPr>
              <w:t>+</w:t>
            </w:r>
          </w:p>
        </w:tc>
        <w:tc>
          <w:tcPr>
            <w:tcW w:w="1254" w:type="pct"/>
            <w:vAlign w:val="center"/>
          </w:tcPr>
          <w:p w14:paraId="3F078C7F">
            <w:pPr>
              <w:spacing w:before="225" w:line="197" w:lineRule="auto"/>
              <w:jc w:val="center"/>
              <w:rPr>
                <w:rFonts w:ascii="微软雅黑" w:hAnsi="微软雅黑" w:eastAsia="微软雅黑" w:cs="微软雅黑"/>
                <w:szCs w:val="21"/>
              </w:rPr>
            </w:pPr>
            <w:r>
              <w:rPr>
                <w:rFonts w:hint="eastAsia" w:ascii="微软雅黑" w:hAnsi="微软雅黑" w:eastAsia="微软雅黑" w:cs="微软雅黑"/>
                <w:spacing w:val="-3"/>
                <w:szCs w:val="21"/>
                <w:lang w:val="en-US" w:eastAsia="zh-CN"/>
              </w:rPr>
              <w:t>5</w:t>
            </w:r>
            <w:r>
              <w:rPr>
                <w:rFonts w:hint="eastAsia" w:ascii="微软雅黑" w:hAnsi="微软雅黑" w:eastAsia="微软雅黑" w:cs="微软雅黑"/>
                <w:spacing w:val="-3"/>
                <w:szCs w:val="21"/>
              </w:rPr>
              <w:t>,000</w:t>
            </w:r>
            <w:r>
              <w:rPr>
                <w:rFonts w:ascii="微软雅黑" w:hAnsi="微软雅黑" w:eastAsia="微软雅黑" w:cs="微软雅黑"/>
                <w:spacing w:val="-3"/>
                <w:szCs w:val="21"/>
              </w:rPr>
              <w:t>+</w:t>
            </w:r>
          </w:p>
        </w:tc>
        <w:tc>
          <w:tcPr>
            <w:tcW w:w="1251" w:type="pct"/>
            <w:vAlign w:val="center"/>
          </w:tcPr>
          <w:p w14:paraId="61D9F2DC">
            <w:pPr>
              <w:spacing w:before="227" w:line="214" w:lineRule="auto"/>
              <w:ind w:left="933"/>
              <w:jc w:val="both"/>
              <w:rPr>
                <w:rFonts w:ascii="微软雅黑" w:hAnsi="微软雅黑" w:eastAsia="微软雅黑" w:cs="微软雅黑"/>
                <w:szCs w:val="21"/>
              </w:rPr>
            </w:pPr>
            <w:r>
              <w:rPr>
                <w:rFonts w:hint="eastAsia" w:ascii="微软雅黑" w:hAnsi="微软雅黑" w:eastAsia="微软雅黑" w:cs="微软雅黑"/>
                <w:spacing w:val="-10"/>
                <w:szCs w:val="21"/>
                <w:lang w:val="en-US" w:eastAsia="zh-CN"/>
              </w:rPr>
              <w:t>10</w:t>
            </w:r>
            <w:r>
              <w:rPr>
                <w:rFonts w:ascii="微软雅黑" w:hAnsi="微软雅黑" w:eastAsia="微软雅黑" w:cs="微软雅黑"/>
                <w:spacing w:val="-10"/>
                <w:szCs w:val="21"/>
              </w:rPr>
              <w:t>+</w:t>
            </w:r>
          </w:p>
        </w:tc>
        <w:tc>
          <w:tcPr>
            <w:tcW w:w="1258" w:type="pct"/>
            <w:vAlign w:val="center"/>
          </w:tcPr>
          <w:p w14:paraId="51CDD0C5">
            <w:pPr>
              <w:spacing w:before="225" w:line="197" w:lineRule="auto"/>
              <w:jc w:val="center"/>
              <w:rPr>
                <w:rFonts w:ascii="微软雅黑" w:hAnsi="微软雅黑" w:eastAsia="微软雅黑" w:cs="微软雅黑"/>
                <w:szCs w:val="21"/>
              </w:rPr>
            </w:pPr>
            <w:r>
              <w:rPr>
                <w:rFonts w:hint="eastAsia" w:ascii="微软雅黑" w:hAnsi="微软雅黑" w:eastAsia="微软雅黑" w:cs="微软雅黑"/>
                <w:spacing w:val="-3"/>
                <w:szCs w:val="21"/>
                <w:lang w:val="en-US" w:eastAsia="zh-CN"/>
              </w:rPr>
              <w:t>10,000</w:t>
            </w:r>
            <w:r>
              <w:rPr>
                <w:rFonts w:ascii="微软雅黑" w:hAnsi="微软雅黑" w:eastAsia="微软雅黑" w:cs="微软雅黑"/>
                <w:spacing w:val="-3"/>
                <w:szCs w:val="21"/>
              </w:rPr>
              <w:t>+</w:t>
            </w:r>
          </w:p>
        </w:tc>
      </w:tr>
    </w:tbl>
    <w:p w14:paraId="25F233D2">
      <w:pPr>
        <w:widowControl/>
        <w:kinsoku w:val="0"/>
        <w:autoSpaceDE w:val="0"/>
        <w:autoSpaceDN w:val="0"/>
        <w:adjustRightInd w:val="0"/>
        <w:spacing w:line="360" w:lineRule="auto"/>
        <w:textAlignment w:val="baseline"/>
        <w:rPr>
          <w:rFonts w:hint="eastAsia" w:ascii="微软雅黑" w:hAnsi="微软雅黑" w:eastAsia="微软雅黑" w:cs="微软雅黑"/>
          <w:b/>
          <w:bCs/>
          <w:sz w:val="40"/>
          <w:szCs w:val="40"/>
        </w:rPr>
      </w:pPr>
      <w:r>
        <w:rPr>
          <w:rFonts w:hint="eastAsia" w:ascii="微软雅黑" w:hAnsi="微软雅黑" w:eastAsia="微软雅黑" w:cs="微软雅黑"/>
          <w:b/>
          <w:bCs/>
          <w:sz w:val="40"/>
          <w:szCs w:val="40"/>
        </w:rPr>
        <w:t>市场机遇</w:t>
      </w:r>
    </w:p>
    <w:p w14:paraId="08C2387C">
      <w:pPr>
        <w:widowControl/>
        <w:kinsoku w:val="0"/>
        <w:autoSpaceDE w:val="0"/>
        <w:autoSpaceDN w:val="0"/>
        <w:adjustRightInd w:val="0"/>
        <w:spacing w:line="360" w:lineRule="auto"/>
        <w:jc w:val="center"/>
        <w:textAlignment w:val="baseline"/>
        <w:rPr>
          <w:rFonts w:hint="eastAsia" w:ascii="微软雅黑" w:hAnsi="微软雅黑" w:eastAsia="微软雅黑" w:cs="微软雅黑"/>
          <w:b/>
          <w:bCs/>
          <w:sz w:val="40"/>
          <w:szCs w:val="40"/>
          <w:lang w:val="en-US" w:eastAsia="zh-CN"/>
        </w:rPr>
      </w:pPr>
      <w:r>
        <w:rPr>
          <w:rFonts w:hint="eastAsia" w:ascii="微软雅黑" w:hAnsi="微软雅黑" w:eastAsia="微软雅黑" w:cs="微软雅黑"/>
          <w:b/>
          <w:bCs/>
          <w:sz w:val="40"/>
          <w:szCs w:val="40"/>
          <w:lang w:val="en-US" w:eastAsia="zh-CN"/>
        </w:rPr>
        <w:drawing>
          <wp:inline distT="0" distB="0" distL="114300" distR="114300">
            <wp:extent cx="6124575" cy="2906395"/>
            <wp:effectExtent l="0" t="0" r="9525" b="8255"/>
            <wp:docPr id="12" name="Picture 12" descr="52ec8eb60f8ebc0d95e9b3458130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52ec8eb60f8ebc0d95e9b3458130495"/>
                    <pic:cNvPicPr>
                      <a:picLocks noChangeAspect="1"/>
                    </pic:cNvPicPr>
                  </pic:nvPicPr>
                  <pic:blipFill>
                    <a:blip r:embed="rId6"/>
                    <a:srcRect r="-156" b="18884"/>
                    <a:stretch>
                      <a:fillRect/>
                    </a:stretch>
                  </pic:blipFill>
                  <pic:spPr>
                    <a:xfrm>
                      <a:off x="0" y="0"/>
                      <a:ext cx="6124575" cy="2906395"/>
                    </a:xfrm>
                    <a:prstGeom prst="rect">
                      <a:avLst/>
                    </a:prstGeom>
                  </pic:spPr>
                </pic:pic>
              </a:graphicData>
            </a:graphic>
          </wp:inline>
        </w:drawing>
      </w:r>
    </w:p>
    <w:p w14:paraId="7EFBC878">
      <w:pPr>
        <w:widowControl/>
        <w:kinsoku w:val="0"/>
        <w:autoSpaceDE w:val="0"/>
        <w:autoSpaceDN w:val="0"/>
        <w:adjustRightInd w:val="0"/>
        <w:spacing w:line="360" w:lineRule="exact"/>
        <w:ind w:firstLine="420" w:firstLineChars="200"/>
        <w:textAlignment w:val="baseline"/>
        <w:rPr>
          <w:rFonts w:hint="eastAsia" w:ascii="微软雅黑" w:hAnsi="微软雅黑" w:eastAsia="微软雅黑"/>
          <w:b w:val="0"/>
          <w:bCs w:val="0"/>
          <w:szCs w:val="21"/>
          <w:lang w:val="en-US" w:eastAsia="zh-CN"/>
        </w:rPr>
      </w:pPr>
      <w:r>
        <w:rPr>
          <w:rFonts w:hint="eastAsia" w:ascii="微软雅黑" w:hAnsi="微软雅黑" w:eastAsia="微软雅黑"/>
          <w:b w:val="0"/>
          <w:bCs w:val="0"/>
          <w:szCs w:val="21"/>
          <w:lang w:val="en-US" w:eastAsia="zh-CN"/>
        </w:rPr>
        <w:t>首先，肯尼亚安防市场增长潜力巨大。肯尼亚作为东非共同体成员，其首都内罗毕是东非的金融中心，有良好的基础设施和交通条件。东非对安防设备的需求成长快速，而肯尼亚有相当数量的富裕人口希望拥有高端的安防设备。特别是国际组织、大使馆、政府机构、中小企业、银行、媒体、中产阶级、上层社会及外籍人士都是安全产业的潜力客户。随着非洲经济的快速发展，肯尼亚将成为全球最具增长潜力的市场之一。例如，2023 年肯尼亚网络安全支出翻了一番，尽管目前支出仍然很低，但政府和企业对网络安全的需求越来越大，这也为安防市场的发展提供了广阔的空间。</w:t>
      </w:r>
    </w:p>
    <w:p w14:paraId="2BBE4DC0">
      <w:pPr>
        <w:widowControl/>
        <w:kinsoku w:val="0"/>
        <w:autoSpaceDE w:val="0"/>
        <w:autoSpaceDN w:val="0"/>
        <w:adjustRightInd w:val="0"/>
        <w:spacing w:line="360" w:lineRule="exact"/>
        <w:ind w:firstLine="420" w:firstLineChars="200"/>
        <w:textAlignment w:val="baseline"/>
        <w:rPr>
          <w:rFonts w:hint="eastAsia" w:ascii="微软雅黑" w:hAnsi="微软雅黑" w:eastAsia="微软雅黑"/>
          <w:b w:val="0"/>
          <w:bCs w:val="0"/>
          <w:szCs w:val="21"/>
          <w:lang w:val="en-US" w:eastAsia="zh-CN"/>
        </w:rPr>
      </w:pPr>
      <w:r>
        <w:rPr>
          <w:rFonts w:hint="eastAsia" w:ascii="微软雅黑" w:hAnsi="微软雅黑" w:eastAsia="微软雅黑"/>
          <w:b w:val="0"/>
          <w:bCs w:val="0"/>
          <w:szCs w:val="21"/>
          <w:lang w:val="en-US" w:eastAsia="zh-CN"/>
        </w:rPr>
        <w:t>其次，肯尼亚安防市场呈现出明显的智能化趋势。业内专家一致认为未来的数字录像机将会向智能化方向发展，支持网络管理，保证设备正常运行，提取视频和实况监控。将网络摄像机和数字录像机进行智能化结合也是业界的一个发展趋势。在肯尼亚，随着科技的不断进步，安防产品也在朝着智能化方向发展。例如，在东非新地标项目中，配备了防冲撞系统、540 台监控设备以及高精度的手持爆炸物检测仪，全方位、无死角保障用户安全。同时，项目团队还为酒店装上了智能化消防联动系统，当烟感报警器触发主机报警后，安保及物业人员可通过 CRT 显示器在毫秒内迅速定位故障点，确认灾情后 1 分钟内触发消防广播 + 声光报警，相比传统报警方式具备更高的报警准确率。此外，肯尼亚的电网通信网络能源管理系统也体现了智能化的特点，该系统通过实时监测和分析电网数据，精确评估各区域的能源需求，保障重点区域电力供给，最大限度降低瞬间断电带来的影响。</w:t>
      </w:r>
    </w:p>
    <w:p w14:paraId="7B81A38E">
      <w:pPr>
        <w:widowControl/>
        <w:kinsoku w:val="0"/>
        <w:autoSpaceDE w:val="0"/>
        <w:autoSpaceDN w:val="0"/>
        <w:adjustRightInd w:val="0"/>
        <w:spacing w:line="360" w:lineRule="exact"/>
        <w:ind w:firstLine="420" w:firstLineChars="200"/>
        <w:textAlignment w:val="baseline"/>
        <w:rPr>
          <w:rFonts w:hint="eastAsia" w:ascii="微软雅黑" w:hAnsi="微软雅黑" w:eastAsia="微软雅黑"/>
          <w:b w:val="0"/>
          <w:bCs w:val="0"/>
          <w:szCs w:val="21"/>
          <w:lang w:val="en-US" w:eastAsia="zh-CN"/>
        </w:rPr>
      </w:pPr>
      <w:r>
        <w:rPr>
          <w:rFonts w:hint="eastAsia" w:ascii="微软雅黑" w:hAnsi="微软雅黑" w:eastAsia="微软雅黑"/>
          <w:b w:val="0"/>
          <w:bCs w:val="0"/>
          <w:szCs w:val="21"/>
          <w:lang w:val="en-US" w:eastAsia="zh-CN"/>
        </w:rPr>
        <w:t>另外，肯尼亚安防市场有多个新增长点。首先，随着非洲经济的快速发展和城市化进程的加速，半数以上的肯尼亚人将成为城市人，加倍的城市规模会增加 6% 的生产力，这将带动对安防设备的需求。其次，网络安全市场发展迅速，政府和企业对网络安全的需求不断增加，成为安防市场的新增长点。例如，肯尼亚网络安全支出翻了一番，数据中心市场预计在未来三年内翻一番，到 2026 年达到 340 亿先令，这为网络安全市场的发展提供了巨大机会。预计到 2025 年，超过 80% 的组织将把服务迁移到云端，这也将进一步推动网络安全市场的发展。此外，智能交通、智慧城市等领域也将成为安防行业新的增长点。例如，在东非新地标项目中，全建造周期使用 BIM 技术，有效识别解决机电系统冲突，提高工作效率。项目团队还引入了自动灯光调节系统、智能水资源管理系统等多项节能技术，整体能源消耗降低了 30%，大大降低了酒店运营成本。</w:t>
      </w:r>
    </w:p>
    <w:p w14:paraId="44284298">
      <w:pPr>
        <w:widowControl/>
        <w:kinsoku w:val="0"/>
        <w:autoSpaceDE w:val="0"/>
        <w:autoSpaceDN w:val="0"/>
        <w:adjustRightInd w:val="0"/>
        <w:spacing w:line="360" w:lineRule="exact"/>
        <w:ind w:firstLine="420" w:firstLineChars="200"/>
        <w:textAlignment w:val="baseline"/>
        <w:rPr>
          <w:rFonts w:hint="eastAsia" w:ascii="微软雅黑" w:hAnsi="微软雅黑" w:eastAsia="微软雅黑"/>
          <w:szCs w:val="21"/>
          <w:lang w:val="en-US" w:eastAsia="zh-CN"/>
        </w:rPr>
      </w:pPr>
      <w:r>
        <w:rPr>
          <w:rFonts w:hint="eastAsia" w:ascii="微软雅黑" w:hAnsi="微软雅黑" w:eastAsia="微软雅黑"/>
          <w:b w:val="0"/>
          <w:bCs w:val="0"/>
          <w:szCs w:val="21"/>
          <w:lang w:val="en-US" w:eastAsia="zh-CN"/>
        </w:rPr>
        <w:t>最后，中国企业在肯尼亚安防市场的表现堪称卓越。例如，浙江大华技术股份有限公司在肯尼亚深耕 8 年后，成功拿下了肯尼亚众多地标建筑和公共设施的安防项目，像肯尼亚蒙内铁路沿线车站项目、DTB 银行监控项目等，其每年收入超过千万美元，业务增幅更是超过 40%。除了大华股份和海康威视之外，深圳市巡鹰安防科技有限公司也与肯尼亚某公司签订了价值 200 多万的电力报警产品和解决方案交易合同。这些都充分彰显了中国企业在肯尼亚安防市场的强大实力和积极影响力。</w:t>
      </w:r>
    </w:p>
    <w:p w14:paraId="6B7591C5">
      <w:pPr>
        <w:rPr>
          <w:rFonts w:hint="eastAsia" w:ascii="微软雅黑" w:hAnsi="微软雅黑" w:eastAsia="微软雅黑" w:cs="微软雅黑"/>
          <w:b/>
          <w:bCs/>
          <w:sz w:val="40"/>
          <w:szCs w:val="40"/>
        </w:rPr>
      </w:pPr>
      <w:r>
        <w:rPr>
          <w:rFonts w:hint="eastAsia" w:ascii="微软雅黑" w:hAnsi="微软雅黑" w:eastAsia="微软雅黑" w:cs="微软雅黑"/>
          <w:b/>
          <w:bCs/>
          <w:sz w:val="40"/>
          <w:szCs w:val="40"/>
        </w:rPr>
        <w:t>参展范围</w:t>
      </w:r>
    </w:p>
    <w:p w14:paraId="59EE84F3">
      <w:pPr>
        <w:rPr>
          <w:rFonts w:hint="eastAsia" w:ascii="微软雅黑" w:hAnsi="微软雅黑" w:eastAsia="微软雅黑" w:cs="微软雅黑"/>
          <w:b/>
          <w:bCs/>
          <w:sz w:val="40"/>
          <w:szCs w:val="40"/>
          <w:lang w:val="en-US" w:eastAsia="zh-CN"/>
        </w:rPr>
      </w:pPr>
      <w:r>
        <w:rPr>
          <w:rFonts w:hint="eastAsia" w:ascii="微软雅黑" w:hAnsi="微软雅黑" w:eastAsia="微软雅黑" w:cs="微软雅黑"/>
          <w:b/>
          <w:bCs/>
          <w:sz w:val="40"/>
          <w:szCs w:val="40"/>
          <w:lang w:val="en-US" w:eastAsia="zh-CN"/>
        </w:rPr>
        <w:drawing>
          <wp:inline distT="0" distB="0" distL="114300" distR="114300">
            <wp:extent cx="6128385" cy="2622550"/>
            <wp:effectExtent l="0" t="0" r="5715" b="6350"/>
            <wp:docPr id="13" name="Picture 13" descr="6ec2b1f5d537d37690f6dda6ea09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6ec2b1f5d537d37690f6dda6ea09464"/>
                    <pic:cNvPicPr>
                      <a:picLocks noChangeAspect="1"/>
                    </pic:cNvPicPr>
                  </pic:nvPicPr>
                  <pic:blipFill>
                    <a:blip r:embed="rId7"/>
                    <a:stretch>
                      <a:fillRect/>
                    </a:stretch>
                  </pic:blipFill>
                  <pic:spPr>
                    <a:xfrm>
                      <a:off x="0" y="0"/>
                      <a:ext cx="6128385" cy="2622550"/>
                    </a:xfrm>
                    <a:prstGeom prst="rect">
                      <a:avLst/>
                    </a:prstGeom>
                  </pic:spPr>
                </pic:pic>
              </a:graphicData>
            </a:graphic>
          </wp:inline>
        </w:drawing>
      </w:r>
    </w:p>
    <w:p w14:paraId="452F2166">
      <w:pPr>
        <w:pStyle w:val="14"/>
        <w:widowControl/>
        <w:numPr>
          <w:ilvl w:val="0"/>
          <w:numId w:val="0"/>
        </w:numPr>
        <w:kinsoku w:val="0"/>
        <w:autoSpaceDE w:val="0"/>
        <w:autoSpaceDN w:val="0"/>
        <w:adjustRightInd w:val="0"/>
        <w:spacing w:line="360" w:lineRule="exact"/>
        <w:ind w:leftChars="0"/>
        <w:textAlignment w:val="baseline"/>
        <w:rPr>
          <w:rFonts w:hint="eastAsia" w:ascii="微软雅黑" w:hAnsi="微软雅黑" w:eastAsia="微软雅黑"/>
          <w:b w:val="0"/>
          <w:bCs w:val="0"/>
          <w:color w:val="000000"/>
          <w:szCs w:val="21"/>
          <w:shd w:val="clear" w:color="auto" w:fill="FFFFFF"/>
          <w:lang w:val="en-US" w:eastAsia="zh-CN"/>
        </w:rPr>
      </w:pPr>
      <w:r>
        <w:rPr>
          <w:rFonts w:hint="default" w:ascii="微软雅黑" w:hAnsi="微软雅黑" w:eastAsia="微软雅黑"/>
          <w:b/>
          <w:bCs/>
          <w:szCs w:val="21"/>
          <w:lang w:val="en-US" w:eastAsia="zh-CN"/>
        </w:rPr>
        <w:t>•</w:t>
      </w:r>
      <w:r>
        <w:rPr>
          <w:rFonts w:hint="eastAsia" w:ascii="微软雅黑" w:hAnsi="微软雅黑" w:eastAsia="微软雅黑"/>
          <w:b/>
          <w:bCs/>
          <w:szCs w:val="21"/>
          <w:lang w:val="en-US" w:eastAsia="zh-CN"/>
        </w:rPr>
        <w:t xml:space="preserve"> 商业安全：</w:t>
      </w:r>
      <w:r>
        <w:rPr>
          <w:rFonts w:hint="eastAsia" w:ascii="微软雅黑" w:hAnsi="微软雅黑" w:eastAsia="微软雅黑"/>
          <w:b w:val="0"/>
          <w:bCs w:val="0"/>
          <w:szCs w:val="21"/>
          <w:lang w:val="en-US" w:eastAsia="zh-CN"/>
        </w:rPr>
        <w:t>防火墙、入侵检测和防御系统（IDS/IPS）、反恶意软件和反病毒软件、数据加密、虚拟专用网络（VPN）、双因素和多因素认证（2FA/MFA）、单点登录（SSO）、访问管理系统（IAM）、数据丢失防护（DLP）、数据备份和恢复、数据分类与标记工具、视频监控系统、门禁控制系统、入侵报警系统、端点检测与响应（EDR）、移动设备管理（MDM）、应用白名单和黑名单、云访问安全代理（CASB）、云工作负载保护平台（CWPP）、容器安全、安全信息和事件管理（SIEM）、漏洞扫描与渗透测试工具、备份与恢复、员工安全培训和意识教育等；</w:t>
      </w:r>
    </w:p>
    <w:p w14:paraId="1CD38C24">
      <w:pPr>
        <w:pStyle w:val="14"/>
        <w:widowControl/>
        <w:numPr>
          <w:ilvl w:val="0"/>
          <w:numId w:val="0"/>
        </w:numPr>
        <w:kinsoku w:val="0"/>
        <w:autoSpaceDE w:val="0"/>
        <w:autoSpaceDN w:val="0"/>
        <w:adjustRightInd w:val="0"/>
        <w:spacing w:line="360" w:lineRule="exact"/>
        <w:ind w:leftChars="0"/>
        <w:textAlignment w:val="baseline"/>
        <w:rPr>
          <w:rFonts w:hint="eastAsia" w:ascii="微软雅黑" w:hAnsi="微软雅黑" w:eastAsia="微软雅黑"/>
          <w:b w:val="0"/>
          <w:bCs w:val="0"/>
          <w:color w:val="000000"/>
          <w:szCs w:val="21"/>
          <w:shd w:val="clear" w:color="auto" w:fill="FFFFFF"/>
          <w:lang w:val="en-US" w:eastAsia="zh-CN"/>
        </w:rPr>
      </w:pPr>
      <w:r>
        <w:rPr>
          <w:rFonts w:hint="default" w:ascii="微软雅黑" w:hAnsi="微软雅黑" w:eastAsia="微软雅黑"/>
          <w:b/>
          <w:bCs/>
          <w:szCs w:val="21"/>
          <w:lang w:val="en-US" w:eastAsia="zh-CN"/>
        </w:rPr>
        <w:t>•</w:t>
      </w:r>
      <w:r>
        <w:rPr>
          <w:rFonts w:hint="eastAsia" w:ascii="微软雅黑" w:hAnsi="微软雅黑" w:eastAsia="微软雅黑"/>
          <w:b/>
          <w:bCs/>
          <w:szCs w:val="21"/>
          <w:lang w:val="en-US" w:eastAsia="zh-CN"/>
        </w:rPr>
        <w:t xml:space="preserve"> 消防、安全与健康：</w:t>
      </w:r>
      <w:r>
        <w:rPr>
          <w:rFonts w:hint="eastAsia" w:ascii="微软雅黑" w:hAnsi="微软雅黑" w:eastAsia="微软雅黑"/>
          <w:b w:val="0"/>
          <w:bCs w:val="0"/>
          <w:szCs w:val="21"/>
          <w:lang w:val="en-US" w:eastAsia="zh-CN"/>
        </w:rPr>
        <w:t>火灾报警系统、自动灭火系统、灭火器、应急照明和出口指示灯、消防水带和消防栓系统、火灾抑制系统、个人防护装备（PPE）、急救箱和急救设备、噪声控制与耳塞/耳罩、应急和疏散设备、环境健康监测产品、安全管理软件与平台、健康促进与员工福祉、防爆产品、化学品泄漏和防护系统、危险品存储设备、模拟培训设备、应急预案管理系统等；</w:t>
      </w:r>
    </w:p>
    <w:p w14:paraId="1E81C940">
      <w:pPr>
        <w:pStyle w:val="14"/>
        <w:widowControl/>
        <w:numPr>
          <w:ilvl w:val="0"/>
          <w:numId w:val="0"/>
        </w:numPr>
        <w:kinsoku w:val="0"/>
        <w:autoSpaceDE w:val="0"/>
        <w:autoSpaceDN w:val="0"/>
        <w:adjustRightInd w:val="0"/>
        <w:spacing w:line="360" w:lineRule="exact"/>
        <w:ind w:leftChars="0"/>
        <w:textAlignment w:val="baseline"/>
        <w:rPr>
          <w:rFonts w:hint="eastAsia" w:ascii="微软雅黑" w:hAnsi="微软雅黑" w:eastAsia="微软雅黑"/>
          <w:b w:val="0"/>
          <w:bCs w:val="0"/>
          <w:color w:val="000000"/>
          <w:szCs w:val="21"/>
          <w:shd w:val="clear" w:color="auto" w:fill="FFFFFF"/>
          <w:lang w:val="en-US" w:eastAsia="zh-CN"/>
        </w:rPr>
      </w:pPr>
      <w:r>
        <w:rPr>
          <w:rFonts w:hint="default" w:ascii="微软雅黑" w:hAnsi="微软雅黑" w:eastAsia="微软雅黑"/>
          <w:b/>
          <w:bCs/>
          <w:szCs w:val="21"/>
          <w:lang w:val="en-US" w:eastAsia="zh-CN"/>
        </w:rPr>
        <w:t>•</w:t>
      </w:r>
      <w:r>
        <w:rPr>
          <w:rFonts w:hint="eastAsia" w:ascii="微软雅黑" w:hAnsi="微软雅黑" w:eastAsia="微软雅黑"/>
          <w:b/>
          <w:bCs/>
          <w:szCs w:val="21"/>
          <w:lang w:val="en-US" w:eastAsia="zh-CN"/>
        </w:rPr>
        <w:t xml:space="preserve"> 智能家居与建筑自动化：</w:t>
      </w:r>
      <w:r>
        <w:rPr>
          <w:rFonts w:hint="eastAsia" w:ascii="微软雅黑" w:hAnsi="微软雅黑" w:eastAsia="微软雅黑"/>
          <w:b w:val="0"/>
          <w:bCs w:val="0"/>
          <w:szCs w:val="21"/>
          <w:lang w:val="en-US" w:eastAsia="zh-CN"/>
        </w:rPr>
        <w:t>智能灯泡、智能开关和调光器、运动和光感传感器、智能温控器、智能空调和加热设备、智能窗帘和百叶窗、智能门锁、智能监控摄像头、智能门铃、安全传感器、智能冰箱、智能洗衣机和烘干机、智能吸尘器、智能厨房设备、智能音频与视频系统、智能家庭管理系统、楼宇管理系统（BMS）、智能会议室管理、访问控制系统、智能网关与平台等；</w:t>
      </w:r>
    </w:p>
    <w:p w14:paraId="62C3896D">
      <w:pPr>
        <w:pStyle w:val="14"/>
        <w:widowControl/>
        <w:numPr>
          <w:ilvl w:val="0"/>
          <w:numId w:val="0"/>
        </w:numPr>
        <w:kinsoku w:val="0"/>
        <w:autoSpaceDE w:val="0"/>
        <w:autoSpaceDN w:val="0"/>
        <w:adjustRightInd w:val="0"/>
        <w:spacing w:line="360" w:lineRule="exact"/>
        <w:ind w:leftChars="0"/>
        <w:textAlignment w:val="baseline"/>
        <w:rPr>
          <w:rFonts w:hint="eastAsia" w:ascii="微软雅黑" w:hAnsi="微软雅黑" w:eastAsia="微软雅黑"/>
          <w:b w:val="0"/>
          <w:bCs w:val="0"/>
          <w:color w:val="000000"/>
          <w:szCs w:val="21"/>
          <w:shd w:val="clear" w:color="auto" w:fill="FFFFFF"/>
          <w:lang w:val="en-US" w:eastAsia="zh-CN"/>
        </w:rPr>
      </w:pPr>
      <w:r>
        <w:rPr>
          <w:rFonts w:hint="default" w:ascii="微软雅黑" w:hAnsi="微软雅黑" w:eastAsia="微软雅黑"/>
          <w:b/>
          <w:bCs/>
          <w:szCs w:val="21"/>
          <w:lang w:val="en-US" w:eastAsia="zh-CN"/>
        </w:rPr>
        <w:t>•</w:t>
      </w:r>
      <w:r>
        <w:rPr>
          <w:rFonts w:hint="eastAsia" w:ascii="微软雅黑" w:hAnsi="微软雅黑" w:eastAsia="微软雅黑"/>
          <w:b/>
          <w:bCs/>
          <w:szCs w:val="21"/>
          <w:lang w:val="en-US" w:eastAsia="zh-CN"/>
        </w:rPr>
        <w:t xml:space="preserve"> 信息网络安全：</w:t>
      </w:r>
      <w:r>
        <w:rPr>
          <w:rFonts w:hint="eastAsia" w:ascii="微软雅黑" w:hAnsi="微软雅黑" w:eastAsia="微软雅黑"/>
          <w:b w:val="0"/>
          <w:bCs w:val="0"/>
          <w:szCs w:val="21"/>
          <w:lang w:val="en-US" w:eastAsia="zh-CN"/>
        </w:rPr>
        <w:t>反恶意软件与反病毒软件、数据加密解决方案、身份验证与访问控制、安全信息与事件管理 (SIEM)、漏洞扫描与管理工具、网络隔离与分段、数据备份软件、灾难恢复解决方案、邮件过滤器、加密邮件传输、网络安全培训工具、钓鱼测试工具；</w:t>
      </w:r>
    </w:p>
    <w:p w14:paraId="565D531C">
      <w:pPr>
        <w:pStyle w:val="14"/>
        <w:widowControl/>
        <w:numPr>
          <w:ilvl w:val="0"/>
          <w:numId w:val="0"/>
        </w:numPr>
        <w:kinsoku w:val="0"/>
        <w:autoSpaceDE w:val="0"/>
        <w:autoSpaceDN w:val="0"/>
        <w:adjustRightInd w:val="0"/>
        <w:spacing w:line="360" w:lineRule="exact"/>
        <w:ind w:leftChars="0"/>
        <w:textAlignment w:val="baseline"/>
        <w:rPr>
          <w:rFonts w:hint="eastAsia" w:ascii="微软雅黑" w:hAnsi="微软雅黑" w:eastAsia="微软雅黑"/>
          <w:b w:val="0"/>
          <w:bCs w:val="0"/>
          <w:color w:val="000000"/>
          <w:szCs w:val="21"/>
          <w:shd w:val="clear" w:color="auto" w:fill="FFFFFF"/>
          <w:lang w:val="en-US" w:eastAsia="zh-CN"/>
        </w:rPr>
      </w:pPr>
      <w:r>
        <w:rPr>
          <w:rFonts w:hint="default" w:ascii="微软雅黑" w:hAnsi="微软雅黑" w:eastAsia="微软雅黑"/>
          <w:b/>
          <w:bCs/>
          <w:szCs w:val="21"/>
          <w:lang w:val="en-US" w:eastAsia="zh-CN"/>
        </w:rPr>
        <w:t>•</w:t>
      </w:r>
      <w:r>
        <w:rPr>
          <w:rFonts w:hint="eastAsia" w:ascii="微软雅黑" w:hAnsi="微软雅黑" w:eastAsia="微软雅黑"/>
          <w:b/>
          <w:bCs/>
          <w:szCs w:val="21"/>
          <w:lang w:val="en-US" w:eastAsia="zh-CN"/>
        </w:rPr>
        <w:t xml:space="preserve"> 周界和人身安全：</w:t>
      </w:r>
      <w:r>
        <w:rPr>
          <w:rFonts w:hint="eastAsia" w:ascii="微软雅黑" w:hAnsi="微软雅黑" w:eastAsia="微软雅黑"/>
          <w:b w:val="0"/>
          <w:bCs w:val="0"/>
          <w:szCs w:val="21"/>
          <w:lang w:val="en-US" w:eastAsia="zh-CN"/>
        </w:rPr>
        <w:t>围栏系统、周界监控摄像头、红外线和激光传感器、入侵检测系统、个人安全报警器、智能手环和佩戴式设备、安全手机应用、智能门禁系统、安全巡逻设备、对讲机和无线电设备、紧急响应中心、气体和烟雾探测器、环境传感器等；</w:t>
      </w:r>
    </w:p>
    <w:p w14:paraId="4F1D80D7">
      <w:pPr>
        <w:pStyle w:val="14"/>
        <w:widowControl/>
        <w:numPr>
          <w:ilvl w:val="0"/>
          <w:numId w:val="0"/>
        </w:numPr>
        <w:kinsoku w:val="0"/>
        <w:autoSpaceDE w:val="0"/>
        <w:autoSpaceDN w:val="0"/>
        <w:adjustRightInd w:val="0"/>
        <w:spacing w:line="360" w:lineRule="exact"/>
        <w:ind w:leftChars="0"/>
        <w:textAlignment w:val="baseline"/>
        <w:rPr>
          <w:rFonts w:hint="default" w:ascii="微软雅黑" w:hAnsi="微软雅黑" w:eastAsia="微软雅黑"/>
          <w:bCs/>
          <w:color w:val="000000"/>
          <w:szCs w:val="21"/>
          <w:shd w:val="clear" w:color="auto" w:fill="FFFFFF"/>
          <w:lang w:val="en-US" w:eastAsia="zh-CN"/>
        </w:rPr>
      </w:pPr>
      <w:r>
        <w:rPr>
          <w:rFonts w:hint="default" w:ascii="微软雅黑" w:hAnsi="微软雅黑" w:eastAsia="微软雅黑"/>
          <w:b/>
          <w:bCs/>
          <w:szCs w:val="21"/>
          <w:lang w:val="en-US" w:eastAsia="zh-CN"/>
        </w:rPr>
        <w:t>•</w:t>
      </w:r>
      <w:r>
        <w:rPr>
          <w:rFonts w:hint="eastAsia" w:ascii="微软雅黑" w:hAnsi="微软雅黑" w:eastAsia="微软雅黑"/>
          <w:b/>
          <w:bCs/>
          <w:szCs w:val="21"/>
          <w:lang w:val="en-US" w:eastAsia="zh-CN"/>
        </w:rPr>
        <w:t xml:space="preserve"> 国土安全与治安：</w:t>
      </w:r>
      <w:r>
        <w:rPr>
          <w:rFonts w:hint="eastAsia" w:ascii="微软雅黑" w:hAnsi="微软雅黑" w:eastAsia="微软雅黑"/>
          <w:b w:val="0"/>
          <w:bCs w:val="0"/>
          <w:szCs w:val="21"/>
          <w:lang w:val="en-US" w:eastAsia="zh-CN"/>
        </w:rPr>
        <w:t>闭路电视监控系统（CCTV）、智能视频分析系统、周界安全系统、安检设备、通信与指挥系统、事件管理系统、数据分析工具、智能交通管理系统、交通监控摄像头、消防报警系统、紧急响应设备、无人机和机器人技术、培训与演练、智能城市解决方案等。</w:t>
      </w:r>
    </w:p>
    <w:sectPr>
      <w:type w:val="continuous"/>
      <w:pgSz w:w="11906" w:h="16838"/>
      <w:pgMar w:top="1440" w:right="1134" w:bottom="1440"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IwZTUyNjZlMWNiZTRhYWQ0OWNkYjI5YjM0NGI4NGUifQ=="/>
  </w:docVars>
  <w:rsids>
    <w:rsidRoot w:val="001F6BF5"/>
    <w:rsid w:val="000762B7"/>
    <w:rsid w:val="000C2C44"/>
    <w:rsid w:val="000E2595"/>
    <w:rsid w:val="00117AF9"/>
    <w:rsid w:val="0013365A"/>
    <w:rsid w:val="001456E6"/>
    <w:rsid w:val="00151250"/>
    <w:rsid w:val="00156C2E"/>
    <w:rsid w:val="00160885"/>
    <w:rsid w:val="0019276A"/>
    <w:rsid w:val="001971C3"/>
    <w:rsid w:val="001A20DB"/>
    <w:rsid w:val="001A32BE"/>
    <w:rsid w:val="001E5EF8"/>
    <w:rsid w:val="001F6BF5"/>
    <w:rsid w:val="00216158"/>
    <w:rsid w:val="00246421"/>
    <w:rsid w:val="0027683B"/>
    <w:rsid w:val="00294CC7"/>
    <w:rsid w:val="002E368C"/>
    <w:rsid w:val="002F1554"/>
    <w:rsid w:val="0030690E"/>
    <w:rsid w:val="00336EEA"/>
    <w:rsid w:val="00344DAB"/>
    <w:rsid w:val="003B0BEB"/>
    <w:rsid w:val="003B6EA5"/>
    <w:rsid w:val="003C3988"/>
    <w:rsid w:val="003E00D2"/>
    <w:rsid w:val="003F48E7"/>
    <w:rsid w:val="00402281"/>
    <w:rsid w:val="00423C6D"/>
    <w:rsid w:val="00425440"/>
    <w:rsid w:val="004405F0"/>
    <w:rsid w:val="00457462"/>
    <w:rsid w:val="004771DA"/>
    <w:rsid w:val="00483FD1"/>
    <w:rsid w:val="004B4D59"/>
    <w:rsid w:val="004C75E8"/>
    <w:rsid w:val="004F2B98"/>
    <w:rsid w:val="005008D3"/>
    <w:rsid w:val="00501F35"/>
    <w:rsid w:val="0051659E"/>
    <w:rsid w:val="005430BB"/>
    <w:rsid w:val="00552E94"/>
    <w:rsid w:val="00553DC5"/>
    <w:rsid w:val="00567F68"/>
    <w:rsid w:val="005E55B2"/>
    <w:rsid w:val="00602921"/>
    <w:rsid w:val="00602D86"/>
    <w:rsid w:val="00607E21"/>
    <w:rsid w:val="00634549"/>
    <w:rsid w:val="00677DEF"/>
    <w:rsid w:val="006809E7"/>
    <w:rsid w:val="00685DB8"/>
    <w:rsid w:val="006B1859"/>
    <w:rsid w:val="006C2201"/>
    <w:rsid w:val="006F7741"/>
    <w:rsid w:val="00703412"/>
    <w:rsid w:val="00705F5B"/>
    <w:rsid w:val="00706CD6"/>
    <w:rsid w:val="00711BEB"/>
    <w:rsid w:val="00720D10"/>
    <w:rsid w:val="00740439"/>
    <w:rsid w:val="00771494"/>
    <w:rsid w:val="00780CC2"/>
    <w:rsid w:val="007D2B63"/>
    <w:rsid w:val="007E5C82"/>
    <w:rsid w:val="00822ACC"/>
    <w:rsid w:val="00874574"/>
    <w:rsid w:val="00881F13"/>
    <w:rsid w:val="008A212E"/>
    <w:rsid w:val="008B6E42"/>
    <w:rsid w:val="00902348"/>
    <w:rsid w:val="0094240F"/>
    <w:rsid w:val="00953365"/>
    <w:rsid w:val="00957711"/>
    <w:rsid w:val="009A7A2A"/>
    <w:rsid w:val="009D4F31"/>
    <w:rsid w:val="009F437F"/>
    <w:rsid w:val="00A60361"/>
    <w:rsid w:val="00A62108"/>
    <w:rsid w:val="00A638F4"/>
    <w:rsid w:val="00A9782F"/>
    <w:rsid w:val="00AB4348"/>
    <w:rsid w:val="00AC3C06"/>
    <w:rsid w:val="00AC4C97"/>
    <w:rsid w:val="00AD5A63"/>
    <w:rsid w:val="00AE6D03"/>
    <w:rsid w:val="00B036E1"/>
    <w:rsid w:val="00B20F76"/>
    <w:rsid w:val="00BB6D7A"/>
    <w:rsid w:val="00BC16E2"/>
    <w:rsid w:val="00C010FA"/>
    <w:rsid w:val="00C278A5"/>
    <w:rsid w:val="00C436D3"/>
    <w:rsid w:val="00C957E6"/>
    <w:rsid w:val="00D011DA"/>
    <w:rsid w:val="00D51C53"/>
    <w:rsid w:val="00D876EB"/>
    <w:rsid w:val="00DA37DB"/>
    <w:rsid w:val="00DC2338"/>
    <w:rsid w:val="00E074E8"/>
    <w:rsid w:val="00E25BC6"/>
    <w:rsid w:val="00E85629"/>
    <w:rsid w:val="00EB2F5A"/>
    <w:rsid w:val="00EB5D55"/>
    <w:rsid w:val="00ED031A"/>
    <w:rsid w:val="00EE09F6"/>
    <w:rsid w:val="00EF5D7B"/>
    <w:rsid w:val="00F53E66"/>
    <w:rsid w:val="00F632ED"/>
    <w:rsid w:val="00FB2B9E"/>
    <w:rsid w:val="01DA21FE"/>
    <w:rsid w:val="02592497"/>
    <w:rsid w:val="041F5699"/>
    <w:rsid w:val="06A67E6B"/>
    <w:rsid w:val="080407C4"/>
    <w:rsid w:val="09EF5447"/>
    <w:rsid w:val="0EC865BB"/>
    <w:rsid w:val="0ED1413C"/>
    <w:rsid w:val="132C67E2"/>
    <w:rsid w:val="140F2E4A"/>
    <w:rsid w:val="15A05AA7"/>
    <w:rsid w:val="167F2A48"/>
    <w:rsid w:val="19121FD6"/>
    <w:rsid w:val="1A3C5ABC"/>
    <w:rsid w:val="1B7D2CDE"/>
    <w:rsid w:val="1FD01D43"/>
    <w:rsid w:val="208A21AD"/>
    <w:rsid w:val="209A4237"/>
    <w:rsid w:val="20AE63DA"/>
    <w:rsid w:val="210A42D5"/>
    <w:rsid w:val="23770662"/>
    <w:rsid w:val="2E067CE7"/>
    <w:rsid w:val="2FF01822"/>
    <w:rsid w:val="31AB3BD5"/>
    <w:rsid w:val="324837DA"/>
    <w:rsid w:val="37A14BDC"/>
    <w:rsid w:val="37EB6767"/>
    <w:rsid w:val="398D63D0"/>
    <w:rsid w:val="39DE5BC6"/>
    <w:rsid w:val="3B652F0D"/>
    <w:rsid w:val="3E832EAB"/>
    <w:rsid w:val="41D148C1"/>
    <w:rsid w:val="42832E2D"/>
    <w:rsid w:val="42A5235A"/>
    <w:rsid w:val="42F02AD9"/>
    <w:rsid w:val="462E5DF2"/>
    <w:rsid w:val="47532608"/>
    <w:rsid w:val="483462A4"/>
    <w:rsid w:val="495C2C76"/>
    <w:rsid w:val="49B36BD3"/>
    <w:rsid w:val="4A1F71D6"/>
    <w:rsid w:val="4F371F35"/>
    <w:rsid w:val="5100482F"/>
    <w:rsid w:val="519A7A59"/>
    <w:rsid w:val="56772E9D"/>
    <w:rsid w:val="59484FC5"/>
    <w:rsid w:val="5A884A7B"/>
    <w:rsid w:val="5B943451"/>
    <w:rsid w:val="5C2A09B2"/>
    <w:rsid w:val="5C385A79"/>
    <w:rsid w:val="5C6F4617"/>
    <w:rsid w:val="5C8400C2"/>
    <w:rsid w:val="5DA327CA"/>
    <w:rsid w:val="5DB858CE"/>
    <w:rsid w:val="5E8B1409"/>
    <w:rsid w:val="5ECB022A"/>
    <w:rsid w:val="63334E9C"/>
    <w:rsid w:val="64606BE6"/>
    <w:rsid w:val="64846B00"/>
    <w:rsid w:val="6487730D"/>
    <w:rsid w:val="675B4115"/>
    <w:rsid w:val="67AD0415"/>
    <w:rsid w:val="68157452"/>
    <w:rsid w:val="69B17AA6"/>
    <w:rsid w:val="69BE2348"/>
    <w:rsid w:val="6A0961EA"/>
    <w:rsid w:val="6C9E5DBE"/>
    <w:rsid w:val="6EC00BE2"/>
    <w:rsid w:val="72080C08"/>
    <w:rsid w:val="741D7EEB"/>
    <w:rsid w:val="75CD358B"/>
    <w:rsid w:val="77BB3B58"/>
    <w:rsid w:val="78B95140"/>
    <w:rsid w:val="79EF706B"/>
    <w:rsid w:val="7AE70D64"/>
    <w:rsid w:val="7B0630C7"/>
    <w:rsid w:val="7BDB1CFE"/>
    <w:rsid w:val="7BDF4EBD"/>
    <w:rsid w:val="7C582096"/>
    <w:rsid w:val="7DF7741D"/>
    <w:rsid w:val="7E904F52"/>
    <w:rsid w:val="7F8402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ody Text"/>
    <w:basedOn w:val="1"/>
    <w:semiHidden/>
    <w:qFormat/>
    <w:uiPriority w:val="0"/>
    <w:rPr>
      <w:rFonts w:ascii="微软雅黑" w:hAnsi="微软雅黑" w:eastAsia="微软雅黑" w:cs="微软雅黑"/>
      <w:szCs w:val="21"/>
      <w:lang w:eastAsia="en-US"/>
    </w:rPr>
  </w:style>
  <w:style w:type="paragraph" w:styleId="4">
    <w:name w:val="footer"/>
    <w:basedOn w:val="1"/>
    <w:link w:val="13"/>
    <w:qFormat/>
    <w:uiPriority w:val="0"/>
    <w:pPr>
      <w:tabs>
        <w:tab w:val="center" w:pos="4153"/>
        <w:tab w:val="right" w:pos="8306"/>
      </w:tabs>
      <w:snapToGrid w:val="0"/>
      <w:jc w:val="left"/>
    </w:pPr>
    <w:rPr>
      <w:sz w:val="18"/>
      <w:szCs w:val="18"/>
    </w:rPr>
  </w:style>
  <w:style w:type="paragraph" w:styleId="5">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character" w:styleId="9">
    <w:name w:val="Strong"/>
    <w:basedOn w:val="8"/>
    <w:qFormat/>
    <w:uiPriority w:val="22"/>
    <w:rPr>
      <w:b/>
    </w:rPr>
  </w:style>
  <w:style w:type="character" w:styleId="10">
    <w:name w:val="Hyperlink"/>
    <w:basedOn w:val="8"/>
    <w:qFormat/>
    <w:uiPriority w:val="0"/>
    <w:rPr>
      <w:color w:val="0000FF"/>
      <w:u w:val="single"/>
    </w:rPr>
  </w:style>
  <w:style w:type="table" w:customStyle="1" w:styleId="11">
    <w:name w:val="Table Normal1"/>
    <w:autoRedefine/>
    <w:semiHidden/>
    <w:unhideWhenUsed/>
    <w:qFormat/>
    <w:uiPriority w:val="0"/>
    <w:tblPr>
      <w:tblCellMar>
        <w:top w:w="0" w:type="dxa"/>
        <w:left w:w="0" w:type="dxa"/>
        <w:bottom w:w="0" w:type="dxa"/>
        <w:right w:w="0" w:type="dxa"/>
      </w:tblCellMar>
    </w:tblPr>
  </w:style>
  <w:style w:type="character" w:customStyle="1" w:styleId="12">
    <w:name w:val="页眉 Char"/>
    <w:basedOn w:val="8"/>
    <w:link w:val="5"/>
    <w:qFormat/>
    <w:uiPriority w:val="0"/>
    <w:rPr>
      <w:rFonts w:asciiTheme="minorHAnsi" w:hAnsiTheme="minorHAnsi" w:eastAsiaTheme="minorEastAsia" w:cstheme="minorBidi"/>
      <w:kern w:val="2"/>
      <w:sz w:val="18"/>
      <w:szCs w:val="18"/>
    </w:rPr>
  </w:style>
  <w:style w:type="character" w:customStyle="1" w:styleId="13">
    <w:name w:val="页脚 Char"/>
    <w:basedOn w:val="8"/>
    <w:link w:val="4"/>
    <w:qFormat/>
    <w:uiPriority w:val="0"/>
    <w:rPr>
      <w:rFonts w:asciiTheme="minorHAnsi" w:hAnsiTheme="minorHAnsi" w:eastAsiaTheme="minorEastAsia" w:cstheme="minorBidi"/>
      <w:kern w:val="2"/>
      <w:sz w:val="18"/>
      <w:szCs w:val="18"/>
    </w:rPr>
  </w:style>
  <w:style w:type="paragraph" w:styleId="14">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A818DF-471B-490C-9B00-91DCCEA8757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Pages>
  <Words>2481</Words>
  <Characters>2605</Characters>
  <Lines>13</Lines>
  <Paragraphs>3</Paragraphs>
  <TotalTime>11</TotalTime>
  <ScaleCrop>false</ScaleCrop>
  <LinksUpToDate>false</LinksUpToDate>
  <CharactersWithSpaces>2643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2024-10-14T05:15:00Z</dcterms:created>
  <dc:creator>10219</dc:creator>
  <cp:lastModifiedBy>MIE集团 胡外杰</cp:lastModifiedBy>
  <dcterms:modified xsi:type="dcterms:W3CDTF">2025-01-17T03:03:10Z</dcterms:modified>
  <cp:revision>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8B50D831F0E145EEBCF7CC9E7E81DE4A_13</vt:lpwstr>
  </property>
</Properties>
</file>